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DD" w:rsidRPr="000D4A48" w:rsidRDefault="007A3CDD" w:rsidP="000D4A48">
      <w:pPr>
        <w:spacing w:after="0" w:line="240" w:lineRule="auto"/>
        <w:contextualSpacing/>
        <w:jc w:val="right"/>
        <w:rPr>
          <w:color w:val="3B3838" w:themeColor="background2" w:themeShade="40"/>
          <w:sz w:val="52"/>
          <w:szCs w:val="52"/>
        </w:rPr>
      </w:pPr>
      <w:r w:rsidRPr="000D4A48">
        <w:rPr>
          <w:color w:val="3B3838" w:themeColor="background2" w:themeShade="40"/>
          <w:sz w:val="52"/>
          <w:szCs w:val="52"/>
        </w:rPr>
        <w:t>PLAN D’ACTION</w:t>
      </w:r>
    </w:p>
    <w:p w:rsidR="007A3CDD" w:rsidRDefault="007A3CDD" w:rsidP="00D35707">
      <w:pPr>
        <w:spacing w:after="0" w:line="240" w:lineRule="auto"/>
        <w:contextualSpacing/>
      </w:pPr>
    </w:p>
    <w:p w:rsidR="00681BCD" w:rsidRDefault="007A3CDD" w:rsidP="00D35707">
      <w:pPr>
        <w:spacing w:after="0" w:line="240" w:lineRule="auto"/>
        <w:contextualSpacing/>
      </w:pPr>
      <w:r>
        <w:t xml:space="preserve">L’objet de ce document est de dresser une liste exhaustive des actions favorisant votre projet export. </w:t>
      </w:r>
      <w:r w:rsidR="00682D5C">
        <w:t>Le nombre d’actions listées ne doit pas être limité mais c</w:t>
      </w:r>
      <w:r>
        <w:t>hacune d’entre elles doit être réalisable au vu de vos ressources financières et humaines</w:t>
      </w:r>
      <w:r w:rsidR="00682D5C">
        <w:t>.</w:t>
      </w:r>
      <w:r>
        <w:t xml:space="preserve"> </w:t>
      </w:r>
    </w:p>
    <w:p w:rsidR="00D35707" w:rsidRDefault="00D35707" w:rsidP="00D35707">
      <w:pPr>
        <w:spacing w:after="0" w:line="240" w:lineRule="auto"/>
        <w:contextualSpacing/>
      </w:pPr>
    </w:p>
    <w:p w:rsidR="00D35707" w:rsidRPr="000D4A48" w:rsidRDefault="00444487" w:rsidP="00D35707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>PLAN D’ACTION TRANSERVAL</w:t>
      </w:r>
      <w:r w:rsidR="000D4A48" w:rsidRPr="000D4A48">
        <w:rPr>
          <w:color w:val="3B3838" w:themeColor="background2" w:themeShade="40"/>
          <w:sz w:val="32"/>
          <w:szCs w:val="32"/>
        </w:rPr>
        <w:t xml:space="preserve"> AUX MARCHES</w:t>
      </w:r>
    </w:p>
    <w:tbl>
      <w:tblPr>
        <w:tblStyle w:val="Grilledutableau"/>
        <w:tblW w:w="15394" w:type="dxa"/>
        <w:tblInd w:w="-459" w:type="dxa"/>
        <w:tblLook w:val="04A0"/>
      </w:tblPr>
      <w:tblGrid>
        <w:gridCol w:w="2235"/>
        <w:gridCol w:w="4428"/>
        <w:gridCol w:w="1134"/>
        <w:gridCol w:w="1417"/>
        <w:gridCol w:w="1276"/>
        <w:gridCol w:w="1417"/>
        <w:gridCol w:w="1673"/>
        <w:gridCol w:w="1814"/>
      </w:tblGrid>
      <w:tr w:rsidR="00DC6790" w:rsidTr="009C7825">
        <w:tc>
          <w:tcPr>
            <w:tcW w:w="2235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Objectif stratégique</w:t>
            </w:r>
          </w:p>
        </w:tc>
        <w:tc>
          <w:tcPr>
            <w:tcW w:w="4428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Actions opérationnelle</w:t>
            </w:r>
            <w:r w:rsidR="00202B94">
              <w:rPr>
                <w:b/>
              </w:rPr>
              <w:t>s</w:t>
            </w:r>
          </w:p>
        </w:tc>
        <w:tc>
          <w:tcPr>
            <w:tcW w:w="1134" w:type="dxa"/>
          </w:tcPr>
          <w:p w:rsidR="00D35707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Maitrise</w:t>
            </w:r>
          </w:p>
          <w:p w:rsidR="005B3214" w:rsidRPr="00DC6790" w:rsidRDefault="005B3214" w:rsidP="005B321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0/3</w:t>
            </w:r>
          </w:p>
        </w:tc>
        <w:tc>
          <w:tcPr>
            <w:tcW w:w="1417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financières</w:t>
            </w:r>
          </w:p>
        </w:tc>
        <w:tc>
          <w:tcPr>
            <w:tcW w:w="1276" w:type="dxa"/>
          </w:tcPr>
          <w:p w:rsidR="00D35707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humaines</w:t>
            </w:r>
          </w:p>
          <w:p w:rsidR="005B3214" w:rsidRPr="005B3214" w:rsidRDefault="005B3214" w:rsidP="005B3214">
            <w:pPr>
              <w:contextualSpacing/>
              <w:jc w:val="center"/>
              <w:rPr>
                <w:sz w:val="18"/>
                <w:szCs w:val="18"/>
              </w:rPr>
            </w:pPr>
            <w:r w:rsidRPr="005B3214">
              <w:rPr>
                <w:sz w:val="18"/>
                <w:szCs w:val="18"/>
              </w:rPr>
              <w:t>(Nbr journées homme</w:t>
            </w:r>
            <w:r w:rsidR="000D4A48">
              <w:rPr>
                <w:sz w:val="18"/>
                <w:szCs w:val="18"/>
              </w:rPr>
              <w:t xml:space="preserve"> par an</w:t>
            </w:r>
            <w:r w:rsidRPr="005B321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Responsable</w:t>
            </w:r>
          </w:p>
        </w:tc>
        <w:tc>
          <w:tcPr>
            <w:tcW w:w="1673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Période</w:t>
            </w:r>
          </w:p>
        </w:tc>
        <w:tc>
          <w:tcPr>
            <w:tcW w:w="1814" w:type="dxa"/>
          </w:tcPr>
          <w:p w:rsidR="00D35707" w:rsidRPr="00DC6790" w:rsidRDefault="00D35707" w:rsidP="005B3214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Date Butoir</w:t>
            </w:r>
          </w:p>
        </w:tc>
      </w:tr>
      <w:tr w:rsidR="000D4A48" w:rsidTr="009C7825">
        <w:tc>
          <w:tcPr>
            <w:tcW w:w="2235" w:type="dxa"/>
            <w:vMerge w:val="restart"/>
          </w:tcPr>
          <w:p w:rsidR="000D4A48" w:rsidRDefault="000D4A48" w:rsidP="00493E2E">
            <w:pPr>
              <w:contextualSpacing/>
            </w:pPr>
            <w:r>
              <w:t xml:space="preserve">Connaître </w:t>
            </w:r>
            <w:r w:rsidR="00493E2E">
              <w:t>l’évolution de</w:t>
            </w:r>
            <w:r>
              <w:t>s marchés</w:t>
            </w:r>
            <w:r w:rsidR="00493E2E">
              <w:t xml:space="preserve"> </w:t>
            </w:r>
          </w:p>
        </w:tc>
        <w:tc>
          <w:tcPr>
            <w:tcW w:w="4428" w:type="dxa"/>
          </w:tcPr>
          <w:p w:rsidR="000D4A48" w:rsidRPr="007A3CDD" w:rsidRDefault="000D4A48" w:rsidP="00493E2E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 xml:space="preserve">Ex : Veille </w:t>
            </w:r>
            <w:r w:rsidR="00493E2E">
              <w:rPr>
                <w:i/>
                <w:color w:val="8EAADB" w:themeColor="accent5" w:themeTint="99"/>
              </w:rPr>
              <w:t>commerciale du secteur d’activité</w:t>
            </w:r>
          </w:p>
        </w:tc>
        <w:tc>
          <w:tcPr>
            <w:tcW w:w="1134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10</w:t>
            </w:r>
          </w:p>
        </w:tc>
        <w:tc>
          <w:tcPr>
            <w:tcW w:w="1417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814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NA</w:t>
            </w:r>
          </w:p>
        </w:tc>
      </w:tr>
      <w:tr w:rsidR="000D4A48" w:rsidTr="009C7825">
        <w:tc>
          <w:tcPr>
            <w:tcW w:w="2235" w:type="dxa"/>
            <w:vMerge/>
          </w:tcPr>
          <w:p w:rsidR="000D4A48" w:rsidRDefault="000D4A48" w:rsidP="005B3214">
            <w:pPr>
              <w:contextualSpacing/>
            </w:pPr>
          </w:p>
        </w:tc>
        <w:tc>
          <w:tcPr>
            <w:tcW w:w="4428" w:type="dxa"/>
          </w:tcPr>
          <w:p w:rsidR="000D4A48" w:rsidRPr="007A3CDD" w:rsidRDefault="000D4A48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Consolider les retours clients</w:t>
            </w:r>
          </w:p>
        </w:tc>
        <w:tc>
          <w:tcPr>
            <w:tcW w:w="1134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5</w:t>
            </w:r>
          </w:p>
        </w:tc>
        <w:tc>
          <w:tcPr>
            <w:tcW w:w="1417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814" w:type="dxa"/>
          </w:tcPr>
          <w:p w:rsidR="000D4A48" w:rsidRPr="007A3CDD" w:rsidRDefault="000D4A48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NA</w:t>
            </w:r>
          </w:p>
        </w:tc>
      </w:tr>
      <w:tr w:rsidR="0096142C" w:rsidTr="009C7825">
        <w:tc>
          <w:tcPr>
            <w:tcW w:w="2235" w:type="dxa"/>
            <w:vMerge w:val="restart"/>
          </w:tcPr>
          <w:p w:rsidR="0096142C" w:rsidRDefault="0096142C" w:rsidP="000D4A48">
            <w:pPr>
              <w:contextualSpacing/>
            </w:pPr>
            <w:r>
              <w:t>Adapter l’offre aux exigences de l’export</w:t>
            </w:r>
          </w:p>
        </w:tc>
        <w:tc>
          <w:tcPr>
            <w:tcW w:w="4428" w:type="dxa"/>
          </w:tcPr>
          <w:p w:rsidR="0096142C" w:rsidRPr="007A3CDD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Etude packaging</w:t>
            </w:r>
          </w:p>
        </w:tc>
        <w:tc>
          <w:tcPr>
            <w:tcW w:w="113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12 000</w:t>
            </w:r>
          </w:p>
        </w:tc>
        <w:tc>
          <w:tcPr>
            <w:tcW w:w="1276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Aout 2016- Décembre 2016</w:t>
            </w: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7A3CDD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Augmenter l’outil de production</w:t>
            </w:r>
            <w:r w:rsidRPr="00AE5FD7">
              <w:rPr>
                <w:i/>
                <w:color w:val="8EAADB" w:themeColor="accent5" w:themeTint="99"/>
              </w:rPr>
              <w:t>/ de stockage</w:t>
            </w:r>
          </w:p>
        </w:tc>
        <w:tc>
          <w:tcPr>
            <w:tcW w:w="113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80 000</w:t>
            </w:r>
          </w:p>
        </w:tc>
        <w:tc>
          <w:tcPr>
            <w:tcW w:w="1276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15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AE5FD7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Lancement de nouveaux produits</w:t>
            </w:r>
          </w:p>
        </w:tc>
        <w:tc>
          <w:tcPr>
            <w:tcW w:w="1134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20 000</w:t>
            </w:r>
          </w:p>
        </w:tc>
        <w:tc>
          <w:tcPr>
            <w:tcW w:w="1276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10</w:t>
            </w: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7A3CDD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Analyser le portefeuille de sous-traitant en vue de l’optimiser</w:t>
            </w:r>
          </w:p>
        </w:tc>
        <w:tc>
          <w:tcPr>
            <w:tcW w:w="113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4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7A3CDD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Engager un process de certification</w:t>
            </w:r>
          </w:p>
        </w:tc>
        <w:tc>
          <w:tcPr>
            <w:tcW w:w="113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8 500</w:t>
            </w:r>
          </w:p>
        </w:tc>
        <w:tc>
          <w:tcPr>
            <w:tcW w:w="1276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01/01/2017</w:t>
            </w: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7A3CDD" w:rsidRDefault="0096142C" w:rsidP="005B3214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Refonte des documents professionnels</w:t>
            </w:r>
          </w:p>
        </w:tc>
        <w:tc>
          <w:tcPr>
            <w:tcW w:w="113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1500</w:t>
            </w:r>
          </w:p>
        </w:tc>
        <w:tc>
          <w:tcPr>
            <w:tcW w:w="1276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327F77">
              <w:rPr>
                <w:i/>
                <w:color w:val="8EAADB" w:themeColor="accent5" w:themeTint="99"/>
              </w:rPr>
              <w:t>0</w:t>
            </w:r>
            <w:r>
              <w:rPr>
                <w:i/>
                <w:color w:val="8EAADB" w:themeColor="accent5" w:themeTint="99"/>
              </w:rPr>
              <w:t>1</w:t>
            </w:r>
            <w:r w:rsidRPr="00327F77">
              <w:rPr>
                <w:i/>
                <w:color w:val="8EAADB" w:themeColor="accent5" w:themeTint="99"/>
              </w:rPr>
              <w:t>/01/2017</w:t>
            </w: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AE5FD7" w:rsidRDefault="0096142C" w:rsidP="000F394B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Définir sa politique tarifaire export</w:t>
            </w:r>
          </w:p>
        </w:tc>
        <w:tc>
          <w:tcPr>
            <w:tcW w:w="1134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327F7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96142C" w:rsidTr="009C7825">
        <w:tc>
          <w:tcPr>
            <w:tcW w:w="2235" w:type="dxa"/>
            <w:vMerge/>
          </w:tcPr>
          <w:p w:rsidR="0096142C" w:rsidRDefault="0096142C" w:rsidP="005B3214">
            <w:pPr>
              <w:contextualSpacing/>
            </w:pPr>
          </w:p>
        </w:tc>
        <w:tc>
          <w:tcPr>
            <w:tcW w:w="4428" w:type="dxa"/>
          </w:tcPr>
          <w:p w:rsidR="0096142C" w:rsidRPr="00AE5FD7" w:rsidRDefault="0096142C" w:rsidP="0060653E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 xml:space="preserve">Ex. : Etablir les documents contractuels export (CGV…) </w:t>
            </w:r>
          </w:p>
        </w:tc>
        <w:tc>
          <w:tcPr>
            <w:tcW w:w="1134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96142C" w:rsidRPr="00AE5FD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96142C" w:rsidRPr="007A3CDD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96142C" w:rsidRPr="00327F77" w:rsidRDefault="0096142C" w:rsidP="007A3CDD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682D5C" w:rsidTr="009C7825">
        <w:tc>
          <w:tcPr>
            <w:tcW w:w="2235" w:type="dxa"/>
            <w:vMerge w:val="restart"/>
          </w:tcPr>
          <w:p w:rsidR="00682D5C" w:rsidRDefault="00682D5C" w:rsidP="00682D5C">
            <w:pPr>
              <w:contextualSpacing/>
            </w:pPr>
            <w:r>
              <w:t>Mettre en adéquation les Ressources Humaines avec le projet export</w:t>
            </w:r>
          </w:p>
        </w:tc>
        <w:tc>
          <w:tcPr>
            <w:tcW w:w="4428" w:type="dxa"/>
          </w:tcPr>
          <w:p w:rsidR="00682D5C" w:rsidRPr="007A3CDD" w:rsidRDefault="00682D5C" w:rsidP="00682D5C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Ex : Formation réglementaire</w:t>
            </w:r>
          </w:p>
        </w:tc>
        <w:tc>
          <w:tcPr>
            <w:tcW w:w="1134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417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250</w:t>
            </w:r>
          </w:p>
        </w:tc>
        <w:tc>
          <w:tcPr>
            <w:tcW w:w="1276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01/09/16</w:t>
            </w:r>
          </w:p>
        </w:tc>
      </w:tr>
      <w:tr w:rsidR="00682D5C" w:rsidTr="009C7825">
        <w:tc>
          <w:tcPr>
            <w:tcW w:w="2235" w:type="dxa"/>
            <w:vMerge/>
          </w:tcPr>
          <w:p w:rsidR="00682D5C" w:rsidRDefault="00682D5C" w:rsidP="00682D5C">
            <w:pPr>
              <w:contextualSpacing/>
            </w:pPr>
          </w:p>
        </w:tc>
        <w:tc>
          <w:tcPr>
            <w:tcW w:w="4428" w:type="dxa"/>
          </w:tcPr>
          <w:p w:rsidR="00682D5C" w:rsidRPr="007A3CDD" w:rsidRDefault="000D4A48" w:rsidP="00682D5C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Embauche assistant</w:t>
            </w:r>
            <w:r w:rsidR="00493E2E">
              <w:rPr>
                <w:i/>
                <w:color w:val="8EAADB" w:themeColor="accent5" w:themeTint="99"/>
              </w:rPr>
              <w:t>(e)</w:t>
            </w:r>
            <w:r>
              <w:rPr>
                <w:i/>
                <w:color w:val="8EAADB" w:themeColor="accent5" w:themeTint="99"/>
              </w:rPr>
              <w:t xml:space="preserve"> commercial</w:t>
            </w:r>
            <w:r w:rsidR="00493E2E">
              <w:rPr>
                <w:i/>
                <w:color w:val="8EAADB" w:themeColor="accent5" w:themeTint="99"/>
              </w:rPr>
              <w:t>(e)</w:t>
            </w:r>
          </w:p>
        </w:tc>
        <w:tc>
          <w:tcPr>
            <w:tcW w:w="1134" w:type="dxa"/>
          </w:tcPr>
          <w:p w:rsidR="00682D5C" w:rsidRPr="007A3CDD" w:rsidRDefault="00493E2E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682D5C" w:rsidRPr="007A3CDD" w:rsidRDefault="00493E2E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32 000</w:t>
            </w:r>
          </w:p>
        </w:tc>
        <w:tc>
          <w:tcPr>
            <w:tcW w:w="1276" w:type="dxa"/>
          </w:tcPr>
          <w:p w:rsidR="00682D5C" w:rsidRPr="007A3CDD" w:rsidRDefault="00493E2E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</w:t>
            </w:r>
          </w:p>
        </w:tc>
        <w:tc>
          <w:tcPr>
            <w:tcW w:w="1417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682D5C" w:rsidRPr="007A3CDD" w:rsidRDefault="00682D5C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181028" w:rsidTr="009C7825">
        <w:tc>
          <w:tcPr>
            <w:tcW w:w="2235" w:type="dxa"/>
            <w:vMerge w:val="restart"/>
          </w:tcPr>
          <w:p w:rsidR="00181028" w:rsidRDefault="00181028" w:rsidP="00682D5C">
            <w:pPr>
              <w:contextualSpacing/>
            </w:pPr>
            <w:r>
              <w:t>Maitrise de l’approche financière</w:t>
            </w:r>
          </w:p>
        </w:tc>
        <w:tc>
          <w:tcPr>
            <w:tcW w:w="4428" w:type="dxa"/>
          </w:tcPr>
          <w:p w:rsidR="00181028" w:rsidRPr="007A3CDD" w:rsidRDefault="00181028" w:rsidP="00493E2E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mettre en place une approche d’analyse des coûts</w:t>
            </w:r>
          </w:p>
        </w:tc>
        <w:tc>
          <w:tcPr>
            <w:tcW w:w="113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3000</w:t>
            </w:r>
          </w:p>
        </w:tc>
        <w:tc>
          <w:tcPr>
            <w:tcW w:w="1276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12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181028" w:rsidTr="009C7825">
        <w:tc>
          <w:tcPr>
            <w:tcW w:w="2235" w:type="dxa"/>
            <w:vMerge/>
          </w:tcPr>
          <w:p w:rsidR="00181028" w:rsidRDefault="00181028" w:rsidP="00682D5C">
            <w:pPr>
              <w:contextualSpacing/>
            </w:pPr>
          </w:p>
        </w:tc>
        <w:tc>
          <w:tcPr>
            <w:tcW w:w="4428" w:type="dxa"/>
          </w:tcPr>
          <w:p w:rsidR="00181028" w:rsidRPr="007A3CDD" w:rsidRDefault="00181028" w:rsidP="00682D5C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Connaitre les différents systèmes d’aide</w:t>
            </w:r>
          </w:p>
        </w:tc>
        <w:tc>
          <w:tcPr>
            <w:tcW w:w="113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181028" w:rsidTr="009C7825">
        <w:tc>
          <w:tcPr>
            <w:tcW w:w="2235" w:type="dxa"/>
            <w:vMerge/>
          </w:tcPr>
          <w:p w:rsidR="00181028" w:rsidRDefault="00181028" w:rsidP="00682D5C">
            <w:pPr>
              <w:contextualSpacing/>
            </w:pPr>
          </w:p>
        </w:tc>
        <w:tc>
          <w:tcPr>
            <w:tcW w:w="4428" w:type="dxa"/>
          </w:tcPr>
          <w:p w:rsidR="00181028" w:rsidRPr="007A3CDD" w:rsidRDefault="00181028" w:rsidP="00682D5C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Monter les dossiers d’aides</w:t>
            </w:r>
          </w:p>
        </w:tc>
        <w:tc>
          <w:tcPr>
            <w:tcW w:w="113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</w:t>
            </w:r>
          </w:p>
        </w:tc>
        <w:tc>
          <w:tcPr>
            <w:tcW w:w="1417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181028" w:rsidTr="009C7825">
        <w:tc>
          <w:tcPr>
            <w:tcW w:w="2235" w:type="dxa"/>
            <w:vMerge/>
          </w:tcPr>
          <w:p w:rsidR="00181028" w:rsidRDefault="00181028" w:rsidP="00682D5C">
            <w:pPr>
              <w:contextualSpacing/>
            </w:pPr>
          </w:p>
        </w:tc>
        <w:tc>
          <w:tcPr>
            <w:tcW w:w="4428" w:type="dxa"/>
          </w:tcPr>
          <w:p w:rsidR="00181028" w:rsidRPr="00AE5FD7" w:rsidRDefault="00181028" w:rsidP="009B6EB2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Maîtrise des dispositifs de couv</w:t>
            </w:r>
            <w:r w:rsidR="009B6EB2">
              <w:rPr>
                <w:i/>
                <w:color w:val="8EAADB" w:themeColor="accent5" w:themeTint="99"/>
              </w:rPr>
              <w:t xml:space="preserve">erture au risque (Crédoc, taux </w:t>
            </w:r>
            <w:r w:rsidRPr="00AE5FD7">
              <w:rPr>
                <w:i/>
                <w:color w:val="8EAADB" w:themeColor="accent5" w:themeTint="99"/>
              </w:rPr>
              <w:t>de change…)</w:t>
            </w:r>
          </w:p>
        </w:tc>
        <w:tc>
          <w:tcPr>
            <w:tcW w:w="1134" w:type="dxa"/>
          </w:tcPr>
          <w:p w:rsidR="00181028" w:rsidRPr="00AE5FD7" w:rsidRDefault="009C7825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181028" w:rsidRPr="00AE5FD7" w:rsidRDefault="009C7825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181028" w:rsidRPr="00AE5FD7" w:rsidRDefault="009C7825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181028" w:rsidRPr="00AE5FD7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673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814" w:type="dxa"/>
          </w:tcPr>
          <w:p w:rsidR="00181028" w:rsidRPr="007A3CDD" w:rsidRDefault="00181028" w:rsidP="00682D5C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</w:tbl>
    <w:p w:rsidR="00D35707" w:rsidRDefault="00D35707" w:rsidP="00D35707">
      <w:pPr>
        <w:spacing w:after="0" w:line="240" w:lineRule="auto"/>
        <w:contextualSpacing/>
      </w:pPr>
      <w:r>
        <w:br w:type="page"/>
      </w:r>
    </w:p>
    <w:p w:rsidR="00327F77" w:rsidRDefault="00327F77" w:rsidP="00D35707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</w:p>
    <w:p w:rsidR="00327F77" w:rsidRDefault="00327F77" w:rsidP="00D35707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</w:p>
    <w:p w:rsidR="00327F77" w:rsidRDefault="00327F77" w:rsidP="00D35707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</w:p>
    <w:p w:rsidR="00D35707" w:rsidRDefault="00444487" w:rsidP="00D35707">
      <w:pPr>
        <w:spacing w:after="0" w:line="240" w:lineRule="auto"/>
        <w:contextualSpacing/>
        <w:rPr>
          <w:i/>
          <w:color w:val="8EAADB" w:themeColor="accent5" w:themeTint="99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>PLAN D’ACTION</w:t>
      </w:r>
      <w:r w:rsidR="00493E2E" w:rsidRPr="00493E2E">
        <w:rPr>
          <w:color w:val="3B3838" w:themeColor="background2" w:themeShade="40"/>
          <w:sz w:val="32"/>
          <w:szCs w:val="32"/>
        </w:rPr>
        <w:t xml:space="preserve"> </w:t>
      </w:r>
      <w:r w:rsidR="00327F77">
        <w:rPr>
          <w:color w:val="3B3838" w:themeColor="background2" w:themeShade="40"/>
          <w:sz w:val="32"/>
          <w:szCs w:val="32"/>
        </w:rPr>
        <w:t xml:space="preserve">- </w:t>
      </w:r>
      <w:r w:rsidR="00493E2E" w:rsidRPr="00493E2E">
        <w:rPr>
          <w:color w:val="3B3838" w:themeColor="background2" w:themeShade="40"/>
          <w:sz w:val="32"/>
          <w:szCs w:val="32"/>
        </w:rPr>
        <w:t>MARCHE</w:t>
      </w:r>
      <w:r w:rsidR="00493E2E">
        <w:rPr>
          <w:color w:val="3B3838" w:themeColor="background2" w:themeShade="40"/>
          <w:sz w:val="32"/>
          <w:szCs w:val="32"/>
        </w:rPr>
        <w:t xml:space="preserve"> CIBLE: </w:t>
      </w:r>
      <w:r w:rsidR="00493E2E" w:rsidRPr="00493E2E">
        <w:rPr>
          <w:i/>
          <w:color w:val="8EAADB" w:themeColor="accent5" w:themeTint="99"/>
          <w:sz w:val="32"/>
          <w:szCs w:val="32"/>
        </w:rPr>
        <w:t>Ex. : Etats-Unis</w:t>
      </w:r>
    </w:p>
    <w:p w:rsidR="003907D1" w:rsidRPr="00493E2E" w:rsidRDefault="003907D1" w:rsidP="00D35707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3256"/>
        <w:gridCol w:w="2835"/>
        <w:gridCol w:w="1134"/>
        <w:gridCol w:w="1417"/>
        <w:gridCol w:w="1276"/>
        <w:gridCol w:w="1417"/>
        <w:gridCol w:w="1336"/>
        <w:gridCol w:w="1383"/>
      </w:tblGrid>
      <w:tr w:rsidR="00493E2E" w:rsidTr="002C122F">
        <w:tc>
          <w:tcPr>
            <w:tcW w:w="3256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Objectif stratégique</w:t>
            </w:r>
          </w:p>
        </w:tc>
        <w:tc>
          <w:tcPr>
            <w:tcW w:w="2835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Actions opérationnelle</w:t>
            </w:r>
          </w:p>
        </w:tc>
        <w:tc>
          <w:tcPr>
            <w:tcW w:w="1134" w:type="dxa"/>
          </w:tcPr>
          <w:p w:rsidR="00493E2E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Maitrise</w:t>
            </w:r>
          </w:p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0/3</w:t>
            </w:r>
          </w:p>
        </w:tc>
        <w:tc>
          <w:tcPr>
            <w:tcW w:w="1417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financières</w:t>
            </w:r>
          </w:p>
        </w:tc>
        <w:tc>
          <w:tcPr>
            <w:tcW w:w="1276" w:type="dxa"/>
          </w:tcPr>
          <w:p w:rsidR="00493E2E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humaines</w:t>
            </w:r>
          </w:p>
          <w:p w:rsidR="00493E2E" w:rsidRPr="005B3214" w:rsidRDefault="00493E2E" w:rsidP="003815E0">
            <w:pPr>
              <w:contextualSpacing/>
              <w:jc w:val="center"/>
              <w:rPr>
                <w:sz w:val="18"/>
                <w:szCs w:val="18"/>
              </w:rPr>
            </w:pPr>
            <w:r w:rsidRPr="005B3214">
              <w:rPr>
                <w:sz w:val="18"/>
                <w:szCs w:val="18"/>
              </w:rPr>
              <w:t>(Nbr journées homme</w:t>
            </w:r>
            <w:r>
              <w:rPr>
                <w:sz w:val="18"/>
                <w:szCs w:val="18"/>
              </w:rPr>
              <w:t xml:space="preserve"> par an</w:t>
            </w:r>
            <w:r w:rsidRPr="005B321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Responsable</w:t>
            </w:r>
          </w:p>
        </w:tc>
        <w:tc>
          <w:tcPr>
            <w:tcW w:w="1336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Période</w:t>
            </w:r>
          </w:p>
        </w:tc>
        <w:tc>
          <w:tcPr>
            <w:tcW w:w="1383" w:type="dxa"/>
          </w:tcPr>
          <w:p w:rsidR="00493E2E" w:rsidRPr="00DC6790" w:rsidRDefault="00493E2E" w:rsidP="003815E0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Date Butoir</w:t>
            </w:r>
          </w:p>
        </w:tc>
      </w:tr>
      <w:tr w:rsidR="00493E2E" w:rsidTr="002C122F">
        <w:tc>
          <w:tcPr>
            <w:tcW w:w="3256" w:type="dxa"/>
            <w:vMerge w:val="restart"/>
          </w:tcPr>
          <w:p w:rsidR="00493E2E" w:rsidRPr="0017575A" w:rsidRDefault="0017575A" w:rsidP="003815E0">
            <w:pPr>
              <w:contextualSpacing/>
              <w:rPr>
                <w:color w:val="538135" w:themeColor="accent6" w:themeShade="BF"/>
              </w:rPr>
            </w:pPr>
            <w:r w:rsidRPr="00AE5FD7">
              <w:t>Stratégie de</w:t>
            </w:r>
            <w:r w:rsidR="00493E2E" w:rsidRPr="00AE5FD7">
              <w:t xml:space="preserve"> marché</w:t>
            </w:r>
          </w:p>
        </w:tc>
        <w:tc>
          <w:tcPr>
            <w:tcW w:w="2835" w:type="dxa"/>
          </w:tcPr>
          <w:p w:rsidR="00493E2E" w:rsidRPr="007A3CDD" w:rsidRDefault="00493E2E" w:rsidP="003815E0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Ex : Veille concurrentielle</w:t>
            </w:r>
          </w:p>
        </w:tc>
        <w:tc>
          <w:tcPr>
            <w:tcW w:w="1134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10</w:t>
            </w: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383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NA</w:t>
            </w:r>
          </w:p>
        </w:tc>
      </w:tr>
      <w:tr w:rsidR="00493E2E" w:rsidTr="002C122F">
        <w:tc>
          <w:tcPr>
            <w:tcW w:w="3256" w:type="dxa"/>
            <w:vMerge/>
          </w:tcPr>
          <w:p w:rsidR="00493E2E" w:rsidRDefault="00493E2E" w:rsidP="003815E0">
            <w:pPr>
              <w:contextualSpacing/>
            </w:pPr>
          </w:p>
        </w:tc>
        <w:tc>
          <w:tcPr>
            <w:tcW w:w="2835" w:type="dxa"/>
          </w:tcPr>
          <w:p w:rsidR="00493E2E" w:rsidRPr="007A3CDD" w:rsidRDefault="00493E2E" w:rsidP="003815E0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Consolider les retours clients</w:t>
            </w:r>
          </w:p>
        </w:tc>
        <w:tc>
          <w:tcPr>
            <w:tcW w:w="1134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5</w:t>
            </w: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383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NA</w:t>
            </w:r>
          </w:p>
        </w:tc>
      </w:tr>
      <w:tr w:rsidR="00493E2E" w:rsidTr="002C122F">
        <w:tc>
          <w:tcPr>
            <w:tcW w:w="3256" w:type="dxa"/>
            <w:vMerge/>
          </w:tcPr>
          <w:p w:rsidR="00493E2E" w:rsidRDefault="00493E2E" w:rsidP="003815E0">
            <w:pPr>
              <w:contextualSpacing/>
            </w:pPr>
          </w:p>
        </w:tc>
        <w:tc>
          <w:tcPr>
            <w:tcW w:w="2835" w:type="dxa"/>
          </w:tcPr>
          <w:p w:rsidR="00493E2E" w:rsidRPr="007A3CDD" w:rsidRDefault="00327F77" w:rsidP="003815E0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 xml:space="preserve">Ex : Définir son </w:t>
            </w:r>
            <w:r w:rsidR="002C122F" w:rsidRPr="00AE5FD7">
              <w:rPr>
                <w:i/>
                <w:color w:val="8EAADB" w:themeColor="accent5" w:themeTint="99"/>
              </w:rPr>
              <w:t xml:space="preserve">mode de commercialisation / </w:t>
            </w:r>
            <w:r w:rsidRPr="00AE5FD7">
              <w:rPr>
                <w:i/>
                <w:color w:val="8EAADB" w:themeColor="accent5" w:themeTint="99"/>
              </w:rPr>
              <w:t>circuit de distribution</w:t>
            </w:r>
          </w:p>
        </w:tc>
        <w:tc>
          <w:tcPr>
            <w:tcW w:w="1134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493E2E" w:rsidRPr="007A3CDD" w:rsidRDefault="00493E2E" w:rsidP="003815E0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327F77" w:rsidTr="002C122F">
        <w:tc>
          <w:tcPr>
            <w:tcW w:w="3256" w:type="dxa"/>
            <w:vMerge w:val="restart"/>
          </w:tcPr>
          <w:p w:rsidR="00327F77" w:rsidRDefault="00327F77" w:rsidP="00327F77">
            <w:pPr>
              <w:contextualSpacing/>
            </w:pPr>
            <w:r>
              <w:t>Prospecter le marché</w:t>
            </w:r>
          </w:p>
        </w:tc>
        <w:tc>
          <w:tcPr>
            <w:tcW w:w="2835" w:type="dxa"/>
          </w:tcPr>
          <w:p w:rsidR="00327F77" w:rsidRPr="007A3CDD" w:rsidRDefault="00327F77" w:rsidP="00327F77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Salon X</w:t>
            </w:r>
          </w:p>
        </w:tc>
        <w:tc>
          <w:tcPr>
            <w:tcW w:w="1134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12 000</w:t>
            </w:r>
          </w:p>
        </w:tc>
        <w:tc>
          <w:tcPr>
            <w:tcW w:w="127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5</w:t>
            </w: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01/2017</w:t>
            </w:r>
          </w:p>
        </w:tc>
        <w:tc>
          <w:tcPr>
            <w:tcW w:w="1383" w:type="dxa"/>
          </w:tcPr>
          <w:p w:rsidR="00327F77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I</w:t>
            </w:r>
            <w:r w:rsidR="00327F77">
              <w:rPr>
                <w:i/>
                <w:color w:val="8EAADB" w:themeColor="accent5" w:themeTint="99"/>
              </w:rPr>
              <w:t>nsc</w:t>
            </w:r>
            <w:r>
              <w:rPr>
                <w:i/>
                <w:color w:val="8EAADB" w:themeColor="accent5" w:themeTint="99"/>
              </w:rPr>
              <w:t>ription : 09/ 2016</w:t>
            </w:r>
          </w:p>
        </w:tc>
      </w:tr>
      <w:tr w:rsidR="00327F77" w:rsidTr="002C122F">
        <w:tc>
          <w:tcPr>
            <w:tcW w:w="3256" w:type="dxa"/>
            <w:vMerge/>
          </w:tcPr>
          <w:p w:rsidR="00327F77" w:rsidRDefault="00327F77" w:rsidP="00327F77">
            <w:pPr>
              <w:contextualSpacing/>
            </w:pPr>
          </w:p>
        </w:tc>
        <w:tc>
          <w:tcPr>
            <w:tcW w:w="2835" w:type="dxa"/>
          </w:tcPr>
          <w:p w:rsidR="00327F77" w:rsidRPr="007A3CDD" w:rsidRDefault="00327F77" w:rsidP="00327F77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Mission de prospection</w:t>
            </w:r>
          </w:p>
        </w:tc>
        <w:tc>
          <w:tcPr>
            <w:tcW w:w="1134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</w:t>
            </w:r>
            <w:r w:rsidR="00327F77">
              <w:rPr>
                <w:i/>
                <w:color w:val="8EAADB" w:themeColor="accent5" w:themeTint="99"/>
              </w:rPr>
              <w:t xml:space="preserve"> 000</w:t>
            </w:r>
          </w:p>
        </w:tc>
        <w:tc>
          <w:tcPr>
            <w:tcW w:w="1276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7</w:t>
            </w: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03/2017</w:t>
            </w:r>
          </w:p>
        </w:tc>
        <w:tc>
          <w:tcPr>
            <w:tcW w:w="1383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020F73">
              <w:rPr>
                <w:i/>
                <w:color w:val="8EAADB" w:themeColor="accent5" w:themeTint="99"/>
              </w:rPr>
              <w:t>Inscription : 09/ 2016</w:t>
            </w:r>
          </w:p>
        </w:tc>
      </w:tr>
      <w:tr w:rsidR="00327F77" w:rsidTr="002C122F">
        <w:tc>
          <w:tcPr>
            <w:tcW w:w="3256" w:type="dxa"/>
            <w:vMerge/>
          </w:tcPr>
          <w:p w:rsidR="00327F77" w:rsidRDefault="00327F77" w:rsidP="00327F77">
            <w:pPr>
              <w:contextualSpacing/>
            </w:pPr>
          </w:p>
        </w:tc>
        <w:tc>
          <w:tcPr>
            <w:tcW w:w="2835" w:type="dxa"/>
          </w:tcPr>
          <w:p w:rsidR="00327F77" w:rsidRPr="00AE5FD7" w:rsidRDefault="00020F73" w:rsidP="00327F77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 xml:space="preserve">Ex. : </w:t>
            </w:r>
            <w:r w:rsidR="002C122F" w:rsidRPr="00AE5FD7">
              <w:rPr>
                <w:i/>
                <w:color w:val="8EAADB" w:themeColor="accent5" w:themeTint="99"/>
              </w:rPr>
              <w:t xml:space="preserve">Achat de listing prospects ; </w:t>
            </w:r>
            <w:r w:rsidRPr="00AE5FD7">
              <w:rPr>
                <w:i/>
                <w:color w:val="8EAADB" w:themeColor="accent5" w:themeTint="99"/>
              </w:rPr>
              <w:t>Emailing</w:t>
            </w:r>
          </w:p>
        </w:tc>
        <w:tc>
          <w:tcPr>
            <w:tcW w:w="1134" w:type="dxa"/>
          </w:tcPr>
          <w:p w:rsidR="00327F77" w:rsidRPr="00AE5FD7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327F77" w:rsidRPr="00AE5FD7" w:rsidRDefault="002C122F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2000</w:t>
            </w:r>
          </w:p>
        </w:tc>
        <w:tc>
          <w:tcPr>
            <w:tcW w:w="1276" w:type="dxa"/>
          </w:tcPr>
          <w:p w:rsidR="00327F77" w:rsidRPr="00AE5FD7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0.25</w:t>
            </w:r>
          </w:p>
        </w:tc>
        <w:tc>
          <w:tcPr>
            <w:tcW w:w="1417" w:type="dxa"/>
          </w:tcPr>
          <w:p w:rsidR="00327F77" w:rsidRPr="00AE5FD7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327F77" w:rsidTr="002C122F">
        <w:tc>
          <w:tcPr>
            <w:tcW w:w="3256" w:type="dxa"/>
            <w:vMerge/>
          </w:tcPr>
          <w:p w:rsidR="00327F77" w:rsidRDefault="00327F77" w:rsidP="00327F77">
            <w:pPr>
              <w:contextualSpacing/>
            </w:pPr>
          </w:p>
        </w:tc>
        <w:tc>
          <w:tcPr>
            <w:tcW w:w="2835" w:type="dxa"/>
          </w:tcPr>
          <w:p w:rsidR="00327F77" w:rsidRPr="007A3CDD" w:rsidRDefault="00327F77" w:rsidP="00327F77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327F77" w:rsidTr="002C122F">
        <w:tc>
          <w:tcPr>
            <w:tcW w:w="3256" w:type="dxa"/>
            <w:vMerge/>
          </w:tcPr>
          <w:p w:rsidR="00327F77" w:rsidRDefault="00327F77" w:rsidP="00327F77">
            <w:pPr>
              <w:contextualSpacing/>
            </w:pPr>
          </w:p>
        </w:tc>
        <w:tc>
          <w:tcPr>
            <w:tcW w:w="2835" w:type="dxa"/>
          </w:tcPr>
          <w:p w:rsidR="00327F77" w:rsidRPr="007A3CDD" w:rsidRDefault="00327F77" w:rsidP="00327F77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327F77" w:rsidTr="002C122F">
        <w:tc>
          <w:tcPr>
            <w:tcW w:w="3256" w:type="dxa"/>
            <w:vMerge w:val="restart"/>
          </w:tcPr>
          <w:p w:rsidR="00327F77" w:rsidRDefault="00020F73" w:rsidP="00327F77">
            <w:pPr>
              <w:contextualSpacing/>
            </w:pPr>
            <w:r>
              <w:t>Développement du marché</w:t>
            </w:r>
          </w:p>
        </w:tc>
        <w:tc>
          <w:tcPr>
            <w:tcW w:w="2835" w:type="dxa"/>
          </w:tcPr>
          <w:p w:rsidR="00327F77" w:rsidRPr="007A3CDD" w:rsidRDefault="00327F77" w:rsidP="00020F73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 xml:space="preserve">Ex : </w:t>
            </w:r>
            <w:r w:rsidR="00020F73">
              <w:rPr>
                <w:i/>
                <w:color w:val="8EAADB" w:themeColor="accent5" w:themeTint="99"/>
              </w:rPr>
              <w:t>Tournée clients</w:t>
            </w:r>
          </w:p>
        </w:tc>
        <w:tc>
          <w:tcPr>
            <w:tcW w:w="1134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6000</w:t>
            </w:r>
          </w:p>
        </w:tc>
        <w:tc>
          <w:tcPr>
            <w:tcW w:w="1276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</w:t>
            </w:r>
          </w:p>
        </w:tc>
        <w:tc>
          <w:tcPr>
            <w:tcW w:w="1417" w:type="dxa"/>
          </w:tcPr>
          <w:p w:rsidR="00327F77" w:rsidRPr="007A3CDD" w:rsidRDefault="00327F77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Sept-oct 17</w:t>
            </w:r>
          </w:p>
        </w:tc>
        <w:tc>
          <w:tcPr>
            <w:tcW w:w="1383" w:type="dxa"/>
          </w:tcPr>
          <w:p w:rsidR="00327F77" w:rsidRPr="007A3CDD" w:rsidRDefault="00020F73" w:rsidP="00327F77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01/12</w:t>
            </w:r>
            <w:r w:rsidR="00327F77">
              <w:rPr>
                <w:i/>
                <w:color w:val="8EAADB" w:themeColor="accent5" w:themeTint="99"/>
              </w:rPr>
              <w:t>/</w:t>
            </w:r>
            <w:r>
              <w:rPr>
                <w:i/>
                <w:color w:val="8EAADB" w:themeColor="accent5" w:themeTint="99"/>
              </w:rPr>
              <w:t>17</w:t>
            </w: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Promotions Marketing</w:t>
            </w: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2000</w:t>
            </w:r>
          </w:p>
        </w:tc>
        <w:tc>
          <w:tcPr>
            <w:tcW w:w="127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0.5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Sept-oct 17</w:t>
            </w: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01/12/17</w:t>
            </w: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Invitations clients</w:t>
            </w: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3000</w:t>
            </w:r>
          </w:p>
        </w:tc>
        <w:tc>
          <w:tcPr>
            <w:tcW w:w="127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 xml:space="preserve">Juin 18 </w:t>
            </w: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AE5FD7" w:rsidRDefault="002C122F" w:rsidP="00020F73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Service après-vente</w:t>
            </w:r>
          </w:p>
        </w:tc>
        <w:tc>
          <w:tcPr>
            <w:tcW w:w="1134" w:type="dxa"/>
          </w:tcPr>
          <w:p w:rsidR="00020F73" w:rsidRPr="00AE5FD7" w:rsidRDefault="002C122F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020F73" w:rsidRPr="00AE5FD7" w:rsidRDefault="002C122F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20F73" w:rsidRPr="00AE5FD7" w:rsidRDefault="002C122F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15</w:t>
            </w:r>
          </w:p>
        </w:tc>
        <w:tc>
          <w:tcPr>
            <w:tcW w:w="1417" w:type="dxa"/>
          </w:tcPr>
          <w:p w:rsidR="00020F73" w:rsidRPr="00AE5FD7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AE5FD7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020F73" w:rsidTr="002C122F">
        <w:tc>
          <w:tcPr>
            <w:tcW w:w="3256" w:type="dxa"/>
            <w:vMerge w:val="restart"/>
          </w:tcPr>
          <w:p w:rsidR="00020F73" w:rsidRDefault="00020F73" w:rsidP="00020F73">
            <w:pPr>
              <w:contextualSpacing/>
            </w:pPr>
            <w:r>
              <w:t>Evaluation des actions</w:t>
            </w: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Calcul du ROI par actions</w:t>
            </w: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20F73" w:rsidRPr="007A3CDD" w:rsidRDefault="003907D1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3907D1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08/17</w:t>
            </w: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Evaluation des débouchés obtenus</w:t>
            </w: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20F73" w:rsidRPr="007A3CDD" w:rsidRDefault="003907D1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Ajustement des actions</w:t>
            </w: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020F73" w:rsidRPr="007A3CDD" w:rsidRDefault="003907D1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020F73" w:rsidTr="002C122F">
        <w:tc>
          <w:tcPr>
            <w:tcW w:w="3256" w:type="dxa"/>
            <w:vMerge/>
          </w:tcPr>
          <w:p w:rsidR="00020F73" w:rsidRDefault="00020F73" w:rsidP="00020F73">
            <w:pPr>
              <w:contextualSpacing/>
            </w:pPr>
          </w:p>
        </w:tc>
        <w:tc>
          <w:tcPr>
            <w:tcW w:w="2835" w:type="dxa"/>
          </w:tcPr>
          <w:p w:rsidR="00020F73" w:rsidRPr="007A3CDD" w:rsidRDefault="00020F73" w:rsidP="00020F73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020F73" w:rsidRPr="007A3CDD" w:rsidRDefault="00020F73" w:rsidP="00020F73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</w:tbl>
    <w:p w:rsidR="00020F73" w:rsidRDefault="00020F73" w:rsidP="00D35707">
      <w:pPr>
        <w:spacing w:after="0" w:line="240" w:lineRule="auto"/>
        <w:contextualSpacing/>
      </w:pPr>
    </w:p>
    <w:p w:rsidR="00020F73" w:rsidRDefault="00020F73">
      <w:r>
        <w:br w:type="page"/>
      </w:r>
    </w:p>
    <w:p w:rsidR="00D35707" w:rsidRDefault="00D35707" w:rsidP="00D35707">
      <w:pPr>
        <w:spacing w:after="0" w:line="240" w:lineRule="auto"/>
        <w:contextualSpacing/>
      </w:pPr>
      <w:bookmarkStart w:id="0" w:name="_GoBack"/>
      <w:bookmarkEnd w:id="0"/>
    </w:p>
    <w:p w:rsidR="00020F73" w:rsidRDefault="00020F73" w:rsidP="00D35707">
      <w:pPr>
        <w:spacing w:after="0" w:line="240" w:lineRule="auto"/>
        <w:contextualSpacing/>
      </w:pPr>
    </w:p>
    <w:p w:rsidR="00020F73" w:rsidRDefault="00020F73" w:rsidP="00020F73">
      <w:pPr>
        <w:spacing w:after="0" w:line="240" w:lineRule="auto"/>
        <w:contextualSpacing/>
        <w:rPr>
          <w:i/>
          <w:color w:val="8EAADB" w:themeColor="accent5" w:themeTint="99"/>
          <w:sz w:val="32"/>
          <w:szCs w:val="32"/>
        </w:rPr>
      </w:pPr>
      <w:r w:rsidRPr="00493E2E">
        <w:rPr>
          <w:color w:val="3B3838" w:themeColor="background2" w:themeShade="40"/>
          <w:sz w:val="32"/>
          <w:szCs w:val="32"/>
        </w:rPr>
        <w:t xml:space="preserve">PLAN D’ACTION </w:t>
      </w:r>
      <w:r>
        <w:rPr>
          <w:color w:val="3B3838" w:themeColor="background2" w:themeShade="40"/>
          <w:sz w:val="32"/>
          <w:szCs w:val="32"/>
        </w:rPr>
        <w:t xml:space="preserve">- </w:t>
      </w:r>
      <w:r w:rsidRPr="00493E2E">
        <w:rPr>
          <w:color w:val="3B3838" w:themeColor="background2" w:themeShade="40"/>
          <w:sz w:val="32"/>
          <w:szCs w:val="32"/>
        </w:rPr>
        <w:t>MARCHE</w:t>
      </w:r>
      <w:r>
        <w:rPr>
          <w:color w:val="3B3838" w:themeColor="background2" w:themeShade="40"/>
          <w:sz w:val="32"/>
          <w:szCs w:val="32"/>
        </w:rPr>
        <w:t xml:space="preserve"> CIBLE: </w:t>
      </w:r>
      <w:r w:rsidRPr="00493E2E">
        <w:rPr>
          <w:i/>
          <w:color w:val="8EAADB" w:themeColor="accent5" w:themeTint="99"/>
          <w:sz w:val="32"/>
          <w:szCs w:val="32"/>
        </w:rPr>
        <w:t xml:space="preserve">Ex. : </w:t>
      </w:r>
      <w:r>
        <w:rPr>
          <w:i/>
          <w:color w:val="8EAADB" w:themeColor="accent5" w:themeTint="99"/>
          <w:sz w:val="32"/>
          <w:szCs w:val="32"/>
        </w:rPr>
        <w:t>Suisse</w:t>
      </w:r>
    </w:p>
    <w:p w:rsidR="003907D1" w:rsidRPr="00493E2E" w:rsidRDefault="003907D1" w:rsidP="00020F73">
      <w:pPr>
        <w:spacing w:after="0" w:line="240" w:lineRule="auto"/>
        <w:contextualSpacing/>
        <w:rPr>
          <w:color w:val="3B3838" w:themeColor="background2" w:themeShade="40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3256"/>
        <w:gridCol w:w="2835"/>
        <w:gridCol w:w="1134"/>
        <w:gridCol w:w="1417"/>
        <w:gridCol w:w="1276"/>
        <w:gridCol w:w="1417"/>
        <w:gridCol w:w="1336"/>
        <w:gridCol w:w="1383"/>
      </w:tblGrid>
      <w:tr w:rsidR="00AE5FD7" w:rsidTr="00F775DA">
        <w:tc>
          <w:tcPr>
            <w:tcW w:w="3256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Objectif stratégique</w:t>
            </w:r>
          </w:p>
        </w:tc>
        <w:tc>
          <w:tcPr>
            <w:tcW w:w="2835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Actions opérationnelle</w:t>
            </w:r>
          </w:p>
        </w:tc>
        <w:tc>
          <w:tcPr>
            <w:tcW w:w="1134" w:type="dxa"/>
          </w:tcPr>
          <w:p w:rsidR="00AE5FD7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Maitrise</w:t>
            </w:r>
          </w:p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0/3</w:t>
            </w:r>
          </w:p>
        </w:tc>
        <w:tc>
          <w:tcPr>
            <w:tcW w:w="1417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financières</w:t>
            </w:r>
          </w:p>
        </w:tc>
        <w:tc>
          <w:tcPr>
            <w:tcW w:w="1276" w:type="dxa"/>
          </w:tcPr>
          <w:p w:rsidR="00AE5FD7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Ressources humaines</w:t>
            </w:r>
          </w:p>
          <w:p w:rsidR="00AE5FD7" w:rsidRPr="005B3214" w:rsidRDefault="00AE5FD7" w:rsidP="00F775DA">
            <w:pPr>
              <w:contextualSpacing/>
              <w:jc w:val="center"/>
              <w:rPr>
                <w:sz w:val="18"/>
                <w:szCs w:val="18"/>
              </w:rPr>
            </w:pPr>
            <w:r w:rsidRPr="005B3214">
              <w:rPr>
                <w:sz w:val="18"/>
                <w:szCs w:val="18"/>
              </w:rPr>
              <w:t>(Nbr journées homme</w:t>
            </w:r>
            <w:r>
              <w:rPr>
                <w:sz w:val="18"/>
                <w:szCs w:val="18"/>
              </w:rPr>
              <w:t xml:space="preserve"> par an</w:t>
            </w:r>
            <w:r w:rsidRPr="005B321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Responsable</w:t>
            </w:r>
          </w:p>
        </w:tc>
        <w:tc>
          <w:tcPr>
            <w:tcW w:w="1336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Période</w:t>
            </w:r>
          </w:p>
        </w:tc>
        <w:tc>
          <w:tcPr>
            <w:tcW w:w="1383" w:type="dxa"/>
          </w:tcPr>
          <w:p w:rsidR="00AE5FD7" w:rsidRPr="00DC6790" w:rsidRDefault="00AE5FD7" w:rsidP="00F775DA">
            <w:pPr>
              <w:contextualSpacing/>
              <w:jc w:val="center"/>
              <w:rPr>
                <w:b/>
              </w:rPr>
            </w:pPr>
            <w:r w:rsidRPr="00DC6790">
              <w:rPr>
                <w:b/>
              </w:rPr>
              <w:t>Date Butoir</w:t>
            </w:r>
          </w:p>
        </w:tc>
      </w:tr>
      <w:tr w:rsidR="00AE5FD7" w:rsidTr="00F775DA">
        <w:tc>
          <w:tcPr>
            <w:tcW w:w="3256" w:type="dxa"/>
            <w:vMerge w:val="restart"/>
          </w:tcPr>
          <w:p w:rsidR="00AE5FD7" w:rsidRPr="0017575A" w:rsidRDefault="00AE5FD7" w:rsidP="00F775DA">
            <w:pPr>
              <w:contextualSpacing/>
              <w:rPr>
                <w:color w:val="538135" w:themeColor="accent6" w:themeShade="BF"/>
              </w:rPr>
            </w:pPr>
            <w:r w:rsidRPr="00AE5FD7">
              <w:t>Stratégie de marché</w:t>
            </w: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Ex : Veille concurrentielle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10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>NA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Consolider les retours clients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5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Permanent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NA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 : Définir son mode de commercialisation / circuit de distribution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 w:val="restart"/>
          </w:tcPr>
          <w:p w:rsidR="00AE5FD7" w:rsidRDefault="00AE5FD7" w:rsidP="00F775DA">
            <w:pPr>
              <w:contextualSpacing/>
            </w:pPr>
            <w:r>
              <w:t>Prospecter le marché</w:t>
            </w: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Salon X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12 000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5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01/2017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Inscription : 09/ 2016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Mission de prospection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6 000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7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03/2017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020F73">
              <w:rPr>
                <w:i/>
                <w:color w:val="8EAADB" w:themeColor="accent5" w:themeTint="99"/>
              </w:rPr>
              <w:t>Inscription : 09/ 2016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AE5FD7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Achat de listing prospects ; Emailing</w:t>
            </w:r>
          </w:p>
        </w:tc>
        <w:tc>
          <w:tcPr>
            <w:tcW w:w="1134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2000</w:t>
            </w:r>
          </w:p>
        </w:tc>
        <w:tc>
          <w:tcPr>
            <w:tcW w:w="1276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0.25</w:t>
            </w:r>
          </w:p>
        </w:tc>
        <w:tc>
          <w:tcPr>
            <w:tcW w:w="1417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 w:val="restart"/>
          </w:tcPr>
          <w:p w:rsidR="00AE5FD7" w:rsidRDefault="00AE5FD7" w:rsidP="00F775DA">
            <w:pPr>
              <w:contextualSpacing/>
            </w:pPr>
            <w:r>
              <w:t>Développement du marché</w:t>
            </w: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 w:rsidRPr="007A3CDD">
              <w:rPr>
                <w:i/>
                <w:color w:val="8EAADB" w:themeColor="accent5" w:themeTint="99"/>
              </w:rPr>
              <w:t xml:space="preserve">Ex : </w:t>
            </w:r>
            <w:r>
              <w:rPr>
                <w:i/>
                <w:color w:val="8EAADB" w:themeColor="accent5" w:themeTint="99"/>
              </w:rPr>
              <w:t>Tournée clients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6000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8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Sept-oct 17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01/12/17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 : Promotions Marketing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2000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0.5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Sept-oct 17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01/12/17</w:t>
            </w: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Invitations clients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3000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6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 xml:space="preserve">Juin 18 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AE5FD7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Ex. : Service après-vente</w:t>
            </w:r>
          </w:p>
        </w:tc>
        <w:tc>
          <w:tcPr>
            <w:tcW w:w="1134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 w:rsidRPr="00AE5FD7">
              <w:rPr>
                <w:i/>
                <w:color w:val="8EAADB" w:themeColor="accent5" w:themeTint="99"/>
              </w:rPr>
              <w:t>15</w:t>
            </w:r>
          </w:p>
        </w:tc>
        <w:tc>
          <w:tcPr>
            <w:tcW w:w="1417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AE5FD7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 w:val="restart"/>
          </w:tcPr>
          <w:p w:rsidR="00AE5FD7" w:rsidRDefault="00AE5FD7" w:rsidP="00F775DA">
            <w:pPr>
              <w:contextualSpacing/>
            </w:pPr>
            <w:r>
              <w:t>Evaluation des actions</w:t>
            </w: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Calcul du ROI par actions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08/17</w:t>
            </w: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Evaluation des débouchés obtenus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2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Ex. : Ajustement des actions</w:t>
            </w: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3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0</w:t>
            </w: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  <w:r>
              <w:rPr>
                <w:i/>
                <w:color w:val="8EAADB" w:themeColor="accent5" w:themeTint="99"/>
              </w:rPr>
              <w:t>1</w:t>
            </w: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  <w:tr w:rsidR="00AE5FD7" w:rsidTr="00F775DA">
        <w:tc>
          <w:tcPr>
            <w:tcW w:w="3256" w:type="dxa"/>
            <w:vMerge/>
          </w:tcPr>
          <w:p w:rsidR="00AE5FD7" w:rsidRDefault="00AE5FD7" w:rsidP="00F775DA">
            <w:pPr>
              <w:contextualSpacing/>
            </w:pPr>
          </w:p>
        </w:tc>
        <w:tc>
          <w:tcPr>
            <w:tcW w:w="2835" w:type="dxa"/>
          </w:tcPr>
          <w:p w:rsidR="00AE5FD7" w:rsidRPr="007A3CDD" w:rsidRDefault="00AE5FD7" w:rsidP="00F775DA">
            <w:pPr>
              <w:contextualSpacing/>
              <w:rPr>
                <w:i/>
                <w:color w:val="8EAADB" w:themeColor="accent5" w:themeTint="99"/>
              </w:rPr>
            </w:pPr>
          </w:p>
        </w:tc>
        <w:tc>
          <w:tcPr>
            <w:tcW w:w="1134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27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417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36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  <w:tc>
          <w:tcPr>
            <w:tcW w:w="1383" w:type="dxa"/>
          </w:tcPr>
          <w:p w:rsidR="00AE5FD7" w:rsidRPr="007A3CDD" w:rsidRDefault="00AE5FD7" w:rsidP="00F775DA">
            <w:pPr>
              <w:contextualSpacing/>
              <w:jc w:val="right"/>
              <w:rPr>
                <w:i/>
                <w:color w:val="8EAADB" w:themeColor="accent5" w:themeTint="99"/>
              </w:rPr>
            </w:pPr>
          </w:p>
        </w:tc>
      </w:tr>
    </w:tbl>
    <w:p w:rsidR="00020F73" w:rsidRDefault="00020F73" w:rsidP="00D35707">
      <w:pPr>
        <w:spacing w:after="0" w:line="240" w:lineRule="auto"/>
        <w:contextualSpacing/>
      </w:pPr>
    </w:p>
    <w:sectPr w:rsidR="00020F73" w:rsidSect="00493E2E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5707"/>
    <w:rsid w:val="00020F73"/>
    <w:rsid w:val="000D4A48"/>
    <w:rsid w:val="000F394B"/>
    <w:rsid w:val="0017575A"/>
    <w:rsid w:val="00181028"/>
    <w:rsid w:val="00193083"/>
    <w:rsid w:val="001F459C"/>
    <w:rsid w:val="00202B94"/>
    <w:rsid w:val="002C122F"/>
    <w:rsid w:val="00327F77"/>
    <w:rsid w:val="003907D1"/>
    <w:rsid w:val="00444487"/>
    <w:rsid w:val="00493E2E"/>
    <w:rsid w:val="005B3214"/>
    <w:rsid w:val="0060653E"/>
    <w:rsid w:val="006447C6"/>
    <w:rsid w:val="00682D5C"/>
    <w:rsid w:val="00764AE8"/>
    <w:rsid w:val="007A3CDD"/>
    <w:rsid w:val="008B3F95"/>
    <w:rsid w:val="00927210"/>
    <w:rsid w:val="0096142C"/>
    <w:rsid w:val="009B6EB2"/>
    <w:rsid w:val="009C7825"/>
    <w:rsid w:val="00A810FB"/>
    <w:rsid w:val="00AE5FD7"/>
    <w:rsid w:val="00C04351"/>
    <w:rsid w:val="00CF563C"/>
    <w:rsid w:val="00D14B3B"/>
    <w:rsid w:val="00D35707"/>
    <w:rsid w:val="00D94F66"/>
    <w:rsid w:val="00DC6790"/>
    <w:rsid w:val="00DF73F7"/>
    <w:rsid w:val="00E36EFA"/>
    <w:rsid w:val="00FD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Barbe</dc:creator>
  <cp:keywords/>
  <dc:description/>
  <cp:lastModifiedBy>Stephanie Egenolf</cp:lastModifiedBy>
  <cp:revision>4</cp:revision>
  <dcterms:created xsi:type="dcterms:W3CDTF">2016-05-20T07:04:00Z</dcterms:created>
  <dcterms:modified xsi:type="dcterms:W3CDTF">2016-05-24T08:11:00Z</dcterms:modified>
</cp:coreProperties>
</file>